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7"/>
        <w:shd w:val="clear" w:color="auto" w:fill="auto"/>
      </w:pPr>
      <w:r>
        <w:t xml:space="preserve">1. Общая информация</w:t>
      </w:r>
      <w:r/>
    </w:p>
    <w:tbl>
      <w:tblPr>
        <w:tblStyle w:val="838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126"/>
        <w:gridCol w:w="6511"/>
      </w:tblGrid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4"/>
                <w:szCs w:val="24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4"/>
                <w:szCs w:val="24"/>
                <w:lang w:eastAsia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center"/>
              <w:spacing w:after="0" w:afterAutospacing="0" w:line="240" w:lineRule="auto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40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511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center"/>
              <w:spacing w:after="0" w:afterAutospacing="0" w:line="240" w:lineRule="auto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40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tcW w:w="6511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ОКПД2 43.99.90. Выполнение строительно-монтажных и пусконаладочных работ по модернизации системы узлов учёта сброса сточных вод Комсомольской ТЭЦ-2 (в рамках выполнения инвестиционного проекта N_505-ХГ-201), г. Комсомольск-на-Амуре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tcW w:w="651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22129004-ТПИР ОБСЛ-2026-ДГК-КТЭЦ2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left"/>
              <w:spacing w:after="0" w:afterAutospacing="0" w:line="240" w:lineRule="auto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40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41"/>
              <w:ind w:firstLine="0"/>
              <w:jc w:val="left"/>
              <w:spacing w:after="0" w:afterAutospacing="0" w:line="240" w:lineRule="auto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40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НМЦ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</w:p>
        </w:tc>
        <w:tc>
          <w:tcPr>
            <w:tcW w:w="651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3 730 753,00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lang w:eastAsia="en-US"/>
              </w:rPr>
              <w:t xml:space="preserve">руб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. без НДС 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14:ligatures w14:val="none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30"/>
        <w:ind w:left="0"/>
        <w:spacing w:before="0" w:after="0" w:afterAutospacing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Метод анализа: ресурсно-индексный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30"/>
        <w:ind w:left="0"/>
        <w:spacing w:before="0" w:after="0" w:afterAutospacing="0" w:line="240" w:lineRule="auto"/>
        <w:widowControl w:val="off"/>
        <w:rPr>
          <w:rFonts w:ascii="Times New Roman" w:hAnsi="Times New Roman" w:eastAsia="Times New Roman" w:cs="Times New Roman"/>
          <w:color w:val="000000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Обоснование расчета НМЦ: прилагаемый сводный сметный расчет (приложение №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4 к Техническим требованиям)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sectPr>
      <w:footnotePr/>
      <w:endnotePr/>
      <w:type w:val="nextPage"/>
      <w:pgSz w:w="11906" w:h="16838" w:orient="portrait"/>
      <w:pgMar w:top="568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 w:customStyle="1">
    <w:name w:val="Основной текст (14)_"/>
    <w:basedOn w:val="831"/>
    <w:link w:val="835"/>
    <w:rPr>
      <w:rFonts w:ascii="Times New Roman" w:hAnsi="Times New Roman" w:eastAsia="Times New Roman" w:cs="Times New Roman"/>
      <w:shd w:val="clear" w:color="auto" w:fill="ffffff"/>
    </w:rPr>
  </w:style>
  <w:style w:type="paragraph" w:styleId="835" w:customStyle="1">
    <w:name w:val="Основной текст (14)"/>
    <w:basedOn w:val="830"/>
    <w:link w:val="834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6" w:customStyle="1">
    <w:name w:val="Подпись к таблице (2)_"/>
    <w:basedOn w:val="831"/>
    <w:link w:val="837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7" w:customStyle="1">
    <w:name w:val="Подпись к таблице (2)"/>
    <w:basedOn w:val="830"/>
    <w:link w:val="836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8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9" w:customStyle="1">
    <w:name w:val="Основной текст (2)_"/>
    <w:basedOn w:val="831"/>
    <w:link w:val="841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0" w:customStyle="1">
    <w:name w:val="Основной текст (2) + 11 pt"/>
    <w:basedOn w:val="839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1" w:customStyle="1">
    <w:name w:val="Основной текст (2)"/>
    <w:basedOn w:val="830"/>
    <w:link w:val="839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4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lutfullina_ee</cp:lastModifiedBy>
  <cp:revision>32</cp:revision>
  <dcterms:created xsi:type="dcterms:W3CDTF">2023-01-20T01:09:00Z</dcterms:created>
  <dcterms:modified xsi:type="dcterms:W3CDTF">2026-02-16T07:03:05Z</dcterms:modified>
</cp:coreProperties>
</file>